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5" w:type="dxa"/>
        <w:jc w:val="center"/>
        <w:tblCellSpacing w:w="0" w:type="dxa"/>
        <w:tblCellMar>
          <w:left w:w="0" w:type="dxa"/>
          <w:right w:w="0" w:type="dxa"/>
        </w:tblCellMar>
        <w:tblLook w:val="04A0" w:firstRow="1" w:lastRow="0" w:firstColumn="1" w:lastColumn="0" w:noHBand="0" w:noVBand="1"/>
      </w:tblPr>
      <w:tblGrid>
        <w:gridCol w:w="9036"/>
      </w:tblGrid>
      <w:tr w:rsidR="00D10631" w:rsidRPr="00D10631" w:rsidTr="00D10631">
        <w:trPr>
          <w:tblCellSpacing w:w="0" w:type="dxa"/>
          <w:jc w:val="center"/>
        </w:trPr>
        <w:tc>
          <w:tcPr>
            <w:tcW w:w="8715" w:type="dxa"/>
            <w:shd w:val="clear" w:color="auto" w:fill="FFFFFF"/>
            <w:hideMark/>
          </w:tcPr>
          <w:p w:rsidR="00923088" w:rsidRPr="00435DD0" w:rsidRDefault="00435DD0" w:rsidP="007516C4">
            <w:pPr>
              <w:jc w:val="center"/>
              <w:rPr>
                <w:b/>
                <w:i/>
                <w:sz w:val="28"/>
                <w:szCs w:val="28"/>
                <w:u w:val="single"/>
              </w:rPr>
            </w:pPr>
            <w:r w:rsidRPr="00435DD0">
              <w:rPr>
                <w:b/>
                <w:i/>
                <w:sz w:val="28"/>
                <w:szCs w:val="28"/>
                <w:u w:val="single"/>
              </w:rPr>
              <w:t>DEMARCHES EN CAS DE DECES</w:t>
            </w:r>
          </w:p>
          <w:tbl>
            <w:tblPr>
              <w:tblW w:w="5000" w:type="pct"/>
              <w:jc w:val="center"/>
              <w:tblCellSpacing w:w="0" w:type="dxa"/>
              <w:tblCellMar>
                <w:left w:w="0" w:type="dxa"/>
                <w:right w:w="0" w:type="dxa"/>
              </w:tblCellMar>
              <w:tblLook w:val="04A0" w:firstRow="1" w:lastRow="0" w:firstColumn="1" w:lastColumn="0" w:noHBand="0" w:noVBand="1"/>
            </w:tblPr>
            <w:tblGrid>
              <w:gridCol w:w="9036"/>
            </w:tblGrid>
            <w:tr w:rsidR="00D10631" w:rsidRPr="00D10631" w:rsidTr="00923088">
              <w:trPr>
                <w:tblCellSpacing w:w="0" w:type="dxa"/>
                <w:jc w:val="center"/>
              </w:trPr>
              <w:tc>
                <w:tcPr>
                  <w:tcW w:w="0" w:type="auto"/>
                  <w:hideMark/>
                </w:tcPr>
                <w:p w:rsidR="00923088" w:rsidRDefault="00923088" w:rsidP="007516C4">
                  <w:pPr>
                    <w:jc w:val="both"/>
                  </w:pPr>
                </w:p>
                <w:tbl>
                  <w:tblPr>
                    <w:tblW w:w="9036" w:type="dxa"/>
                    <w:jc w:val="center"/>
                    <w:tblCellSpacing w:w="0" w:type="dxa"/>
                    <w:tblCellMar>
                      <w:left w:w="0" w:type="dxa"/>
                      <w:right w:w="0" w:type="dxa"/>
                    </w:tblCellMar>
                    <w:tblLook w:val="04A0" w:firstRow="1" w:lastRow="0" w:firstColumn="1" w:lastColumn="0" w:noHBand="0" w:noVBand="1"/>
                  </w:tblPr>
                  <w:tblGrid>
                    <w:gridCol w:w="9036"/>
                  </w:tblGrid>
                  <w:tr w:rsidR="00D10631" w:rsidRPr="00D10631" w:rsidTr="00850663">
                    <w:trPr>
                      <w:tblCellSpacing w:w="0" w:type="dxa"/>
                      <w:jc w:val="center"/>
                    </w:trPr>
                    <w:tc>
                      <w:tcPr>
                        <w:tcW w:w="9036" w:type="dxa"/>
                        <w:hideMark/>
                      </w:tcPr>
                      <w:p w:rsidR="008A246B" w:rsidRDefault="00D10631" w:rsidP="007516C4">
                        <w:pPr>
                          <w:spacing w:before="100" w:beforeAutospacing="1" w:after="100" w:afterAutospacing="1" w:line="240" w:lineRule="auto"/>
                          <w:jc w:val="both"/>
                          <w:rPr>
                            <w:rFonts w:ascii="Arial" w:eastAsia="Times New Roman" w:hAnsi="Arial" w:cs="Arial"/>
                            <w:b/>
                            <w:bCs/>
                            <w:sz w:val="20"/>
                            <w:szCs w:val="20"/>
                            <w:lang w:eastAsia="fr-FR"/>
                          </w:rPr>
                        </w:pPr>
                        <w:r w:rsidRPr="00BD430A">
                          <w:rPr>
                            <w:rFonts w:ascii="Arial" w:eastAsia="Times New Roman" w:hAnsi="Arial" w:cs="Arial"/>
                            <w:b/>
                            <w:bCs/>
                            <w:sz w:val="20"/>
                            <w:szCs w:val="20"/>
                            <w:lang w:eastAsia="fr-FR"/>
                          </w:rPr>
                          <w:t>Il faut malheureusement envisager le cas du décès du kinésithérapeute : la famille doit effectuer un certain nombre de démarches immédiates et, par ailleurs, décider du sort du cabinet</w:t>
                        </w:r>
                        <w:r w:rsidR="009677E4">
                          <w:rPr>
                            <w:rFonts w:ascii="Arial" w:eastAsia="Times New Roman" w:hAnsi="Arial" w:cs="Arial"/>
                            <w:b/>
                            <w:bCs/>
                            <w:sz w:val="20"/>
                            <w:szCs w:val="20"/>
                            <w:lang w:eastAsia="fr-FR"/>
                          </w:rPr>
                          <w:t>.</w:t>
                        </w:r>
                      </w:p>
                      <w:p w:rsidR="00D10631" w:rsidRPr="009677E4" w:rsidRDefault="00D21EAC" w:rsidP="007516C4">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Il est conseillé de prendre, </w:t>
                        </w:r>
                        <w:r w:rsidR="009677E4">
                          <w:rPr>
                            <w:rFonts w:ascii="Arial" w:eastAsia="Times New Roman" w:hAnsi="Arial" w:cs="Arial"/>
                            <w:b/>
                            <w:bCs/>
                            <w:sz w:val="20"/>
                            <w:szCs w:val="20"/>
                            <w:lang w:eastAsia="fr-FR"/>
                          </w:rPr>
                          <w:t>au moins</w:t>
                        </w:r>
                        <w:r>
                          <w:rPr>
                            <w:rFonts w:ascii="Arial" w:eastAsia="Times New Roman" w:hAnsi="Arial" w:cs="Arial"/>
                            <w:b/>
                            <w:bCs/>
                            <w:sz w:val="20"/>
                            <w:szCs w:val="20"/>
                            <w:lang w:eastAsia="fr-FR"/>
                          </w:rPr>
                          <w:t>,</w:t>
                        </w:r>
                        <w:r w:rsidR="009677E4">
                          <w:rPr>
                            <w:rFonts w:ascii="Arial" w:eastAsia="Times New Roman" w:hAnsi="Arial" w:cs="Arial"/>
                            <w:b/>
                            <w:bCs/>
                            <w:sz w:val="20"/>
                            <w:szCs w:val="20"/>
                            <w:lang w:eastAsia="fr-FR"/>
                          </w:rPr>
                          <w:t xml:space="preserve"> un contact téléphonique avec chaque organisme.</w:t>
                        </w:r>
                      </w:p>
                      <w:p w:rsidR="00D10631" w:rsidRPr="00BD430A" w:rsidRDefault="00D10631" w:rsidP="007516C4">
                        <w:pPr>
                          <w:spacing w:before="100" w:beforeAutospacing="1" w:after="100" w:afterAutospacing="1" w:line="240" w:lineRule="auto"/>
                          <w:jc w:val="both"/>
                          <w:rPr>
                            <w:rFonts w:ascii="Arial" w:eastAsia="Times New Roman" w:hAnsi="Arial" w:cs="Arial"/>
                            <w:sz w:val="20"/>
                            <w:szCs w:val="20"/>
                            <w:u w:val="single"/>
                            <w:lang w:eastAsia="fr-FR"/>
                          </w:rPr>
                        </w:pPr>
                        <w:r w:rsidRPr="00BD430A">
                          <w:rPr>
                            <w:rFonts w:ascii="Arial" w:eastAsia="Times New Roman" w:hAnsi="Arial" w:cs="Arial"/>
                            <w:b/>
                            <w:bCs/>
                            <w:color w:val="603294"/>
                            <w:sz w:val="20"/>
                            <w:szCs w:val="20"/>
                            <w:u w:val="single"/>
                            <w:lang w:eastAsia="fr-FR"/>
                          </w:rPr>
                          <w:t>Impôts</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Un certificat de décès doit être adressé à la Direction des Impôts ou au centre des Impôts de la localité de résidence, par lettre recommandée avec accusé de réception.</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 xml:space="preserve">La déclaration </w:t>
                        </w:r>
                        <w:r w:rsidR="009677E4">
                          <w:rPr>
                            <w:rFonts w:ascii="Arial" w:eastAsia="Times New Roman" w:hAnsi="Arial" w:cs="Arial"/>
                            <w:sz w:val="20"/>
                            <w:szCs w:val="20"/>
                            <w:lang w:eastAsia="fr-FR"/>
                          </w:rPr>
                          <w:t xml:space="preserve">provisoire </w:t>
                        </w:r>
                        <w:r w:rsidRPr="00D10631">
                          <w:rPr>
                            <w:rFonts w:ascii="Arial" w:eastAsia="Times New Roman" w:hAnsi="Arial" w:cs="Arial"/>
                            <w:sz w:val="20"/>
                            <w:szCs w:val="20"/>
                            <w:lang w:eastAsia="fr-FR"/>
                          </w:rPr>
                          <w:t>des revenus professionnels, y compris les plus-values, doit être faite dans les six mois qui suivent le décès.</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 décès ne dispense pas du paiement des tiers provisionnels ou des mensualités qui sont dus, appelés en recouvrement.</w:t>
                        </w:r>
                      </w:p>
                      <w:p w:rsidR="00D10631" w:rsidRPr="00BD430A" w:rsidRDefault="00D10631" w:rsidP="007516C4">
                        <w:pPr>
                          <w:spacing w:before="100" w:beforeAutospacing="1" w:after="100" w:afterAutospacing="1" w:line="240" w:lineRule="auto"/>
                          <w:jc w:val="both"/>
                          <w:rPr>
                            <w:rFonts w:ascii="Arial" w:eastAsia="Times New Roman" w:hAnsi="Arial" w:cs="Arial"/>
                            <w:sz w:val="20"/>
                            <w:szCs w:val="20"/>
                            <w:u w:val="single"/>
                            <w:lang w:eastAsia="fr-FR"/>
                          </w:rPr>
                        </w:pPr>
                        <w:r w:rsidRPr="00BD430A">
                          <w:rPr>
                            <w:rFonts w:ascii="Arial" w:eastAsia="Times New Roman" w:hAnsi="Arial" w:cs="Arial"/>
                            <w:b/>
                            <w:bCs/>
                            <w:color w:val="603294"/>
                            <w:sz w:val="20"/>
                            <w:szCs w:val="20"/>
                            <w:u w:val="single"/>
                            <w:lang w:eastAsia="fr-FR"/>
                          </w:rPr>
                          <w:t>Association de gestion agréée</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 xml:space="preserve">Si le kinésithérapeute était adhérent d'une association de gestion agréée, il faut l'informer de la date du décès et adresser la déclaration </w:t>
                        </w:r>
                        <w:r w:rsidR="009677E4">
                          <w:rPr>
                            <w:rFonts w:ascii="Arial" w:eastAsia="Times New Roman" w:hAnsi="Arial" w:cs="Arial"/>
                            <w:sz w:val="20"/>
                            <w:szCs w:val="20"/>
                            <w:lang w:eastAsia="fr-FR"/>
                          </w:rPr>
                          <w:t xml:space="preserve">provisoire </w:t>
                        </w:r>
                        <w:r w:rsidRPr="00D10631">
                          <w:rPr>
                            <w:rFonts w:ascii="Arial" w:eastAsia="Times New Roman" w:hAnsi="Arial" w:cs="Arial"/>
                            <w:sz w:val="20"/>
                            <w:szCs w:val="20"/>
                            <w:lang w:eastAsia="fr-FR"/>
                          </w:rPr>
                          <w:t>de</w:t>
                        </w:r>
                        <w:r w:rsidR="009677E4">
                          <w:rPr>
                            <w:rFonts w:ascii="Arial" w:eastAsia="Times New Roman" w:hAnsi="Arial" w:cs="Arial"/>
                            <w:sz w:val="20"/>
                            <w:szCs w:val="20"/>
                            <w:lang w:eastAsia="fr-FR"/>
                          </w:rPr>
                          <w:t>s</w:t>
                        </w:r>
                        <w:r w:rsidRPr="00D10631">
                          <w:rPr>
                            <w:rFonts w:ascii="Arial" w:eastAsia="Times New Roman" w:hAnsi="Arial" w:cs="Arial"/>
                            <w:sz w:val="20"/>
                            <w:szCs w:val="20"/>
                            <w:lang w:eastAsia="fr-FR"/>
                          </w:rPr>
                          <w:t xml:space="preserve"> revenus professionnels à l'association agréée, avant de l'envoyer aux services fiscaux, pour obtenir le visa permettant de bénéficier des abattements fiscaux.</w:t>
                        </w:r>
                      </w:p>
                      <w:p w:rsidR="00D10631" w:rsidRPr="00BD430A" w:rsidRDefault="00D10631" w:rsidP="007516C4">
                        <w:pPr>
                          <w:spacing w:before="100" w:beforeAutospacing="1" w:after="100" w:afterAutospacing="1" w:line="240" w:lineRule="auto"/>
                          <w:jc w:val="both"/>
                          <w:rPr>
                            <w:rFonts w:ascii="Arial" w:eastAsia="Times New Roman" w:hAnsi="Arial" w:cs="Arial"/>
                            <w:sz w:val="20"/>
                            <w:szCs w:val="20"/>
                            <w:u w:val="single"/>
                            <w:lang w:eastAsia="fr-FR"/>
                          </w:rPr>
                        </w:pPr>
                        <w:r w:rsidRPr="00BD430A">
                          <w:rPr>
                            <w:rFonts w:ascii="Arial" w:eastAsia="Times New Roman" w:hAnsi="Arial" w:cs="Arial"/>
                            <w:b/>
                            <w:bCs/>
                            <w:color w:val="603294"/>
                            <w:sz w:val="20"/>
                            <w:szCs w:val="20"/>
                            <w:u w:val="single"/>
                            <w:lang w:eastAsia="fr-FR"/>
                          </w:rPr>
                          <w:t>URSSAF</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Pour ce qui concerne l'assurance maladie, les cotisations des travailleurs indépendants et la liquidation du numéro professionnel : une lettre recommandée avec avis de réception doit être adressée au service de l'URSSAF du chef-lieu du département (lettre avec certificat de décès).</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u w:val="single"/>
                            <w:lang w:eastAsia="fr-FR"/>
                          </w:rPr>
                        </w:pPr>
                        <w:r w:rsidRPr="00B45684">
                          <w:rPr>
                            <w:rFonts w:ascii="Arial" w:eastAsia="Times New Roman" w:hAnsi="Arial" w:cs="Arial"/>
                            <w:b/>
                            <w:bCs/>
                            <w:color w:val="603294"/>
                            <w:sz w:val="20"/>
                            <w:szCs w:val="20"/>
                            <w:u w:val="single"/>
                            <w:lang w:eastAsia="fr-FR"/>
                          </w:rPr>
                          <w:t>Retraite</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Lettre recommandée à la CARPIMKO avec avis de réception, avec certificat de décès ou fiche familiale d'Etat civil, assortie de toutes les mentions marginales (mention du décès de l'adhérent).</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Pour le conjoint survivant, mention : non décédé, non séparé, non divorcé, non remarié. En regard du prénom de chaque enfant, la mention non décédé.</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Cette procédure mettra en route une liquidation de dossier avec les calculs des indemnités prévues (décès, rente d'éducation des enfants, etc.).</w:t>
                        </w:r>
                      </w:p>
                      <w:p w:rsidR="00D10631" w:rsidRPr="00BD430A" w:rsidRDefault="0084559C" w:rsidP="007516C4">
                        <w:pPr>
                          <w:spacing w:before="100" w:beforeAutospacing="1" w:after="100" w:afterAutospacing="1" w:line="240" w:lineRule="auto"/>
                          <w:jc w:val="both"/>
                          <w:rPr>
                            <w:rFonts w:ascii="Arial" w:eastAsia="Times New Roman" w:hAnsi="Arial" w:cs="Arial"/>
                            <w:sz w:val="20"/>
                            <w:szCs w:val="20"/>
                            <w:u w:val="single"/>
                            <w:lang w:eastAsia="fr-FR"/>
                          </w:rPr>
                        </w:pPr>
                        <w:r>
                          <w:rPr>
                            <w:rFonts w:ascii="Arial" w:eastAsia="Times New Roman" w:hAnsi="Arial" w:cs="Arial"/>
                            <w:b/>
                            <w:bCs/>
                            <w:color w:val="603294"/>
                            <w:sz w:val="20"/>
                            <w:szCs w:val="20"/>
                            <w:u w:val="single"/>
                            <w:lang w:eastAsia="fr-FR"/>
                          </w:rPr>
                          <w:t>Banque</w:t>
                        </w:r>
                      </w:p>
                      <w:p w:rsidR="008A246B"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Déclaration de décès obligatoire. Le compte professionnel va être contrôlé et, sous la responsabilité du notaire, seront prévus : l'encaissement des recettes professionnelles ou le paiement des dépenses professionnelles.</w:t>
                        </w:r>
                      </w:p>
                      <w:p w:rsidR="00EC61E4" w:rsidRDefault="00EC61E4" w:rsidP="007516C4">
                        <w:pPr>
                          <w:spacing w:before="100" w:beforeAutospacing="1" w:after="100" w:afterAutospacing="1" w:line="240" w:lineRule="auto"/>
                          <w:jc w:val="both"/>
                          <w:rPr>
                            <w:rFonts w:ascii="Arial" w:eastAsia="Times New Roman" w:hAnsi="Arial" w:cs="Arial"/>
                            <w:b/>
                            <w:bCs/>
                            <w:color w:val="603294"/>
                            <w:sz w:val="20"/>
                            <w:szCs w:val="20"/>
                            <w:u w:val="single"/>
                            <w:lang w:eastAsia="fr-FR"/>
                          </w:rPr>
                        </w:pPr>
                        <w:r w:rsidRPr="00EC61E4">
                          <w:rPr>
                            <w:rFonts w:ascii="Arial" w:eastAsia="Times New Roman" w:hAnsi="Arial" w:cs="Arial"/>
                            <w:b/>
                            <w:bCs/>
                            <w:color w:val="603294"/>
                            <w:sz w:val="20"/>
                            <w:szCs w:val="20"/>
                            <w:u w:val="single"/>
                            <w:lang w:eastAsia="fr-FR"/>
                          </w:rPr>
                          <w:t>Ordre</w:t>
                        </w:r>
                      </w:p>
                      <w:p w:rsidR="00EC61E4" w:rsidRPr="00EC61E4" w:rsidRDefault="00EC61E4" w:rsidP="007516C4">
                        <w:pPr>
                          <w:spacing w:before="100" w:beforeAutospacing="1" w:after="100" w:afterAutospacing="1" w:line="240" w:lineRule="auto"/>
                          <w:jc w:val="both"/>
                          <w:rPr>
                            <w:rFonts w:ascii="Arial" w:eastAsia="Times New Roman" w:hAnsi="Arial" w:cs="Arial"/>
                            <w:sz w:val="20"/>
                            <w:szCs w:val="20"/>
                            <w:lang w:eastAsia="fr-FR"/>
                          </w:rPr>
                        </w:pPr>
                        <w:r w:rsidRPr="00EC61E4">
                          <w:rPr>
                            <w:rFonts w:ascii="Arial" w:eastAsia="Times New Roman" w:hAnsi="Arial" w:cs="Arial"/>
                            <w:sz w:val="20"/>
                            <w:szCs w:val="20"/>
                            <w:lang w:eastAsia="fr-FR"/>
                          </w:rPr>
                          <w:t>Déclaration du dé</w:t>
                        </w:r>
                        <w:r>
                          <w:rPr>
                            <w:rFonts w:ascii="Arial" w:eastAsia="Times New Roman" w:hAnsi="Arial" w:cs="Arial"/>
                            <w:sz w:val="20"/>
                            <w:szCs w:val="20"/>
                            <w:lang w:eastAsia="fr-FR"/>
                          </w:rPr>
                          <w:t>cès obligatoire avec certificat de décès pour radiation.</w:t>
                        </w:r>
                      </w:p>
                      <w:p w:rsidR="00D10631" w:rsidRPr="00BD430A" w:rsidRDefault="00D10631" w:rsidP="007516C4">
                        <w:pPr>
                          <w:spacing w:before="100" w:beforeAutospacing="1" w:after="100" w:afterAutospacing="1" w:line="240" w:lineRule="auto"/>
                          <w:jc w:val="both"/>
                          <w:rPr>
                            <w:rFonts w:ascii="Arial" w:eastAsia="Times New Roman" w:hAnsi="Arial" w:cs="Arial"/>
                            <w:sz w:val="20"/>
                            <w:szCs w:val="20"/>
                            <w:u w:val="single"/>
                            <w:lang w:eastAsia="fr-FR"/>
                          </w:rPr>
                        </w:pPr>
                        <w:r w:rsidRPr="00BD430A">
                          <w:rPr>
                            <w:rFonts w:ascii="Arial" w:eastAsia="Times New Roman" w:hAnsi="Arial" w:cs="Arial"/>
                            <w:b/>
                            <w:bCs/>
                            <w:color w:val="603294"/>
                            <w:sz w:val="20"/>
                            <w:szCs w:val="20"/>
                            <w:u w:val="single"/>
                            <w:lang w:eastAsia="fr-FR"/>
                          </w:rPr>
                          <w:t>Assurances diverses</w:t>
                        </w:r>
                      </w:p>
                      <w:p w:rsidR="00D10631" w:rsidRPr="00D10631" w:rsidRDefault="00D10631" w:rsidP="007516C4">
                        <w:pPr>
                          <w:spacing w:before="100" w:beforeAutospacing="1"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Déclaration la plus rapide possible auprès des compagnies qui assurent :</w:t>
                        </w:r>
                      </w:p>
                      <w:p w:rsidR="00BD430A" w:rsidRPr="00D10631" w:rsidRDefault="00D10631" w:rsidP="007516C4">
                        <w:pPr>
                          <w:spacing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 la respons</w:t>
                        </w:r>
                        <w:r w:rsidR="00BD430A">
                          <w:rPr>
                            <w:rFonts w:ascii="Arial" w:eastAsia="Times New Roman" w:hAnsi="Arial" w:cs="Arial"/>
                            <w:sz w:val="20"/>
                            <w:szCs w:val="20"/>
                            <w:lang w:eastAsia="fr-FR"/>
                          </w:rPr>
                          <w:t xml:space="preserve">abilité civile professionnelle </w:t>
                        </w:r>
                      </w:p>
                      <w:p w:rsidR="009677E4" w:rsidRDefault="00D10631" w:rsidP="009677E4">
                        <w:pPr>
                          <w:spacing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 le décès, etc.</w:t>
                        </w:r>
                      </w:p>
                      <w:p w:rsidR="00B6508B" w:rsidRDefault="00B6508B" w:rsidP="009677E4">
                        <w:pPr>
                          <w:spacing w:after="0" w:line="240" w:lineRule="auto"/>
                          <w:jc w:val="both"/>
                          <w:rPr>
                            <w:rFonts w:ascii="Arial" w:eastAsia="Times New Roman" w:hAnsi="Arial" w:cs="Arial"/>
                            <w:sz w:val="20"/>
                            <w:szCs w:val="20"/>
                            <w:lang w:eastAsia="fr-FR"/>
                          </w:rPr>
                        </w:pPr>
                      </w:p>
                      <w:p w:rsidR="009677E4" w:rsidRDefault="009677E4" w:rsidP="009677E4">
                        <w:pPr>
                          <w:spacing w:after="0" w:line="240" w:lineRule="auto"/>
                          <w:jc w:val="both"/>
                          <w:rPr>
                            <w:rFonts w:ascii="Arial" w:eastAsia="Times New Roman" w:hAnsi="Arial" w:cs="Arial"/>
                            <w:sz w:val="20"/>
                            <w:szCs w:val="20"/>
                            <w:lang w:eastAsia="fr-FR"/>
                          </w:rPr>
                        </w:pPr>
                      </w:p>
                      <w:p w:rsidR="00B546AB" w:rsidRDefault="00B546AB" w:rsidP="009677E4">
                        <w:pPr>
                          <w:spacing w:after="0" w:line="240" w:lineRule="auto"/>
                          <w:jc w:val="both"/>
                          <w:rPr>
                            <w:rFonts w:ascii="Arial" w:eastAsia="Times New Roman" w:hAnsi="Arial" w:cs="Arial"/>
                            <w:b/>
                            <w:sz w:val="20"/>
                            <w:szCs w:val="20"/>
                            <w:lang w:eastAsia="fr-FR"/>
                          </w:rPr>
                        </w:pPr>
                      </w:p>
                      <w:p w:rsidR="00D10631" w:rsidRPr="00B546AB" w:rsidRDefault="00D10631" w:rsidP="009677E4">
                        <w:pPr>
                          <w:spacing w:after="0" w:line="240" w:lineRule="auto"/>
                          <w:jc w:val="both"/>
                          <w:rPr>
                            <w:rFonts w:ascii="Arial" w:eastAsia="Times New Roman" w:hAnsi="Arial" w:cs="Arial"/>
                            <w:b/>
                            <w:sz w:val="20"/>
                            <w:szCs w:val="20"/>
                            <w:lang w:eastAsia="fr-FR"/>
                          </w:rPr>
                        </w:pPr>
                        <w:r w:rsidRPr="00B546AB">
                          <w:rPr>
                            <w:rFonts w:ascii="Arial" w:eastAsia="Times New Roman" w:hAnsi="Arial" w:cs="Arial"/>
                            <w:b/>
                            <w:sz w:val="20"/>
                            <w:szCs w:val="20"/>
                            <w:lang w:eastAsia="fr-FR"/>
                          </w:rPr>
                          <w:t>Le cabinet est aussi une véritable entreprise et plusieurs cas de figure peuvent se présenter :</w:t>
                        </w:r>
                      </w:p>
                      <w:p w:rsidR="008A246B" w:rsidRDefault="008A246B" w:rsidP="009677E4">
                        <w:pPr>
                          <w:spacing w:after="0" w:line="240" w:lineRule="auto"/>
                          <w:jc w:val="both"/>
                          <w:rPr>
                            <w:rFonts w:ascii="Arial" w:eastAsia="Times New Roman" w:hAnsi="Arial" w:cs="Arial"/>
                            <w:b/>
                            <w:sz w:val="20"/>
                            <w:szCs w:val="20"/>
                            <w:lang w:eastAsia="fr-FR"/>
                          </w:rPr>
                        </w:pPr>
                      </w:p>
                      <w:p w:rsidR="00B546AB" w:rsidRDefault="00B546AB" w:rsidP="008A246B">
                        <w:pPr>
                          <w:spacing w:before="100" w:beforeAutospacing="1" w:after="100" w:afterAutospacing="1" w:line="240" w:lineRule="auto"/>
                          <w:jc w:val="center"/>
                          <w:rPr>
                            <w:rFonts w:ascii="Arial" w:eastAsia="Times New Roman" w:hAnsi="Arial" w:cs="Arial"/>
                            <w:b/>
                            <w:i/>
                            <w:iCs/>
                            <w:color w:val="00B0F0"/>
                            <w:sz w:val="20"/>
                            <w:szCs w:val="20"/>
                            <w:u w:val="single"/>
                            <w:lang w:eastAsia="fr-FR"/>
                          </w:rPr>
                        </w:pPr>
                      </w:p>
                      <w:p w:rsidR="008A246B" w:rsidRPr="00B45684" w:rsidRDefault="008A246B" w:rsidP="008A246B">
                        <w:pPr>
                          <w:spacing w:before="100" w:beforeAutospacing="1" w:after="100" w:afterAutospacing="1" w:line="240" w:lineRule="auto"/>
                          <w:jc w:val="center"/>
                          <w:rPr>
                            <w:rFonts w:ascii="Arial" w:eastAsia="Times New Roman" w:hAnsi="Arial" w:cs="Arial"/>
                            <w:b/>
                            <w:i/>
                            <w:iCs/>
                            <w:color w:val="00B0F0"/>
                            <w:sz w:val="20"/>
                            <w:szCs w:val="20"/>
                            <w:u w:val="single"/>
                            <w:lang w:eastAsia="fr-FR"/>
                          </w:rPr>
                        </w:pPr>
                        <w:r w:rsidRPr="00B45684">
                          <w:rPr>
                            <w:rFonts w:ascii="Arial" w:eastAsia="Times New Roman" w:hAnsi="Arial" w:cs="Arial"/>
                            <w:b/>
                            <w:i/>
                            <w:iCs/>
                            <w:color w:val="00B0F0"/>
                            <w:sz w:val="20"/>
                            <w:szCs w:val="20"/>
                            <w:u w:val="single"/>
                            <w:lang w:eastAsia="fr-FR"/>
                          </w:rPr>
                          <w:t>Le kinésithérapeute exerçait individuellement</w:t>
                        </w:r>
                      </w:p>
                      <w:p w:rsidR="008A246B" w:rsidRPr="00B45684" w:rsidRDefault="008A246B" w:rsidP="008A246B">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Déclaration du décès obligatoire avec certificat de décès. L’article R4321-132 prévoit, avec l’accord de l’Ordre, une gérance pendant 6 mois, reconductible 1 fois. C’est le Conseil départemental qui accorde cette dérogation. La cotisation de l’inscription à l’Ordre étant due pour l’année elle ne peut</w:t>
                        </w:r>
                        <w:r w:rsidR="009505CA">
                          <w:rPr>
                            <w:rFonts w:ascii="Arial" w:eastAsia="Times New Roman" w:hAnsi="Arial" w:cs="Arial"/>
                            <w:sz w:val="20"/>
                            <w:szCs w:val="20"/>
                            <w:lang w:eastAsia="fr-FR"/>
                          </w:rPr>
                          <w:t xml:space="preserve"> </w:t>
                        </w:r>
                        <w:r w:rsidRPr="00B45684">
                          <w:rPr>
                            <w:rFonts w:ascii="Arial" w:eastAsia="Times New Roman" w:hAnsi="Arial" w:cs="Arial"/>
                            <w:sz w:val="20"/>
                            <w:szCs w:val="20"/>
                            <w:lang w:eastAsia="fr-FR"/>
                          </w:rPr>
                          <w:t>être remboursée.</w:t>
                        </w:r>
                      </w:p>
                      <w:p w:rsidR="008A246B" w:rsidRPr="00D10631" w:rsidRDefault="008A246B" w:rsidP="008A246B">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En ce qui concerne l'utilisation des feuilles de soins et convention : la CPAM établit rapidement des feuilles de soins au nom du "remplaçant". Les feuilles de soins du décédé sont utilisées comme lors d'un remplacement. Si le "remplaçant" exerce déjà dans un cabinet dont il est titulaire, il peut utiliser ses propres feuilles.</w:t>
                        </w:r>
                      </w:p>
                      <w:p w:rsidR="008A246B" w:rsidRPr="00D10631" w:rsidRDefault="008A246B" w:rsidP="008A246B">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 remplacement d'un masseur-kinésithérapeute décédé peut parfois poser des problèmes avec les organismes sociaux. En effet, certaines CPAM considèrent que l'on ne peut remplacer une personne décédée, le remplacement ne trouvant sa définition que dans le cadre de vacances, formation ou maladie.</w:t>
                        </w:r>
                      </w:p>
                      <w:p w:rsidR="009505CA" w:rsidRPr="00D10631" w:rsidRDefault="008A246B" w:rsidP="008A246B">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 cas du décès n'étant pas prévu par la Convention, ces CPAM refusent de rembourser les soins effectués par le remplaçant, facturés sur les feuilles du remplacé décédé.</w:t>
                        </w:r>
                        <w:r w:rsidR="009505CA">
                          <w:rPr>
                            <w:rFonts w:ascii="Arial" w:eastAsia="Times New Roman" w:hAnsi="Arial" w:cs="Arial"/>
                            <w:sz w:val="20"/>
                            <w:szCs w:val="20"/>
                            <w:lang w:eastAsia="fr-FR"/>
                          </w:rPr>
                          <w:t xml:space="preserve"> Contacter le service des Professionnels de Santé de la CPAM avant toute initiative.</w:t>
                        </w:r>
                      </w:p>
                      <w:p w:rsidR="008A246B" w:rsidRPr="009677E4" w:rsidRDefault="008A246B" w:rsidP="009677E4">
                        <w:pPr>
                          <w:spacing w:after="0" w:line="240" w:lineRule="auto"/>
                          <w:jc w:val="both"/>
                          <w:rPr>
                            <w:rFonts w:ascii="Arial" w:eastAsia="Times New Roman" w:hAnsi="Arial" w:cs="Arial"/>
                            <w:sz w:val="20"/>
                            <w:szCs w:val="20"/>
                            <w:lang w:eastAsia="fr-FR"/>
                          </w:rPr>
                        </w:pPr>
                      </w:p>
                      <w:p w:rsidR="00D10631" w:rsidRPr="0084559C" w:rsidRDefault="00D10631" w:rsidP="007516C4">
                        <w:pPr>
                          <w:spacing w:before="100" w:beforeAutospacing="1" w:after="100" w:afterAutospacing="1" w:line="240" w:lineRule="auto"/>
                          <w:jc w:val="center"/>
                          <w:rPr>
                            <w:rFonts w:ascii="Arial" w:eastAsia="Times New Roman" w:hAnsi="Arial" w:cs="Arial"/>
                            <w:b/>
                            <w:color w:val="00B0F0"/>
                            <w:sz w:val="20"/>
                            <w:szCs w:val="20"/>
                            <w:lang w:eastAsia="fr-FR"/>
                          </w:rPr>
                        </w:pPr>
                        <w:r w:rsidRPr="0084559C">
                          <w:rPr>
                            <w:rFonts w:ascii="Arial" w:eastAsia="Times New Roman" w:hAnsi="Arial" w:cs="Arial"/>
                            <w:b/>
                            <w:i/>
                            <w:iCs/>
                            <w:color w:val="00B0F0"/>
                            <w:sz w:val="20"/>
                            <w:szCs w:val="20"/>
                            <w:u w:val="single"/>
                            <w:lang w:eastAsia="fr-FR"/>
                          </w:rPr>
                          <w:t>Le conjoint survivant est lui-même kinésithérapeute</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 S'il est marié sous le régime de la communauté, il peut conserver la clientèle du cabinet, prendre un collaborateur.</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 S'il est marié sous le régime de la séparation de biens : situation identique à celle d'un groupe.</w:t>
                        </w:r>
                      </w:p>
                      <w:p w:rsidR="00850663" w:rsidRPr="00B45684" w:rsidRDefault="00850663" w:rsidP="007516C4">
                        <w:pPr>
                          <w:spacing w:before="100" w:beforeAutospacing="1" w:after="100" w:afterAutospacing="1" w:line="240" w:lineRule="auto"/>
                          <w:jc w:val="both"/>
                          <w:rPr>
                            <w:rFonts w:ascii="Arial" w:eastAsia="Times New Roman" w:hAnsi="Arial" w:cs="Arial"/>
                            <w:sz w:val="20"/>
                            <w:szCs w:val="20"/>
                            <w:lang w:eastAsia="fr-FR"/>
                          </w:rPr>
                        </w:pPr>
                      </w:p>
                      <w:p w:rsidR="00D10631" w:rsidRPr="0084559C" w:rsidRDefault="00D10631" w:rsidP="007516C4">
                        <w:pPr>
                          <w:spacing w:before="100" w:beforeAutospacing="1" w:after="100" w:afterAutospacing="1" w:line="240" w:lineRule="auto"/>
                          <w:jc w:val="center"/>
                          <w:rPr>
                            <w:rFonts w:ascii="Arial" w:eastAsia="Times New Roman" w:hAnsi="Arial" w:cs="Arial"/>
                            <w:b/>
                            <w:color w:val="00B0F0"/>
                            <w:sz w:val="20"/>
                            <w:szCs w:val="20"/>
                            <w:lang w:eastAsia="fr-FR"/>
                          </w:rPr>
                        </w:pPr>
                        <w:r w:rsidRPr="0084559C">
                          <w:rPr>
                            <w:rFonts w:ascii="Arial" w:eastAsia="Times New Roman" w:hAnsi="Arial" w:cs="Arial"/>
                            <w:b/>
                            <w:i/>
                            <w:iCs/>
                            <w:color w:val="00B0F0"/>
                            <w:sz w:val="20"/>
                            <w:szCs w:val="20"/>
                            <w:u w:val="single"/>
                            <w:lang w:eastAsia="fr-FR"/>
                          </w:rPr>
                          <w:t>Le kinésithérapeute exerçait dans un groupe</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Les éléments permettant d'évaluer le patrimoine professionnel propre au décédé sont rassemblés (part de matériel, part de clientèle ou clientèle propre).</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Deux solutions provisoires :</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 les autres membres du groupe s'engagent à conserver les droits patrimoniaux et prennent en charge l'activité jusqu'à rachat par eux ou par un tiers. Ils verseront aux ayants droit une indemnité forfaitaire d'occupation des locaux ;</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 les autres membres du groupe ne veulent pas ou ne peuvent pas reprendre l'activité. Il faut passer contrat avec un successeur provisoire accepté ou proposé par les autres membres du groupe. Ce successeur provisoire paiera aux ayants droit une indemnité forfaitaire.</w:t>
                        </w:r>
                        <w:r w:rsidR="00B6508B">
                          <w:rPr>
                            <w:rFonts w:ascii="Arial" w:eastAsia="Times New Roman" w:hAnsi="Arial" w:cs="Arial"/>
                            <w:sz w:val="20"/>
                            <w:szCs w:val="20"/>
                            <w:lang w:eastAsia="fr-FR"/>
                          </w:rPr>
                          <w:t xml:space="preserve"> </w:t>
                        </w:r>
                        <w:r w:rsidR="009505CA">
                          <w:rPr>
                            <w:rFonts w:ascii="Arial" w:eastAsia="Times New Roman" w:hAnsi="Arial" w:cs="Arial"/>
                            <w:sz w:val="20"/>
                            <w:szCs w:val="20"/>
                            <w:lang w:eastAsia="fr-FR"/>
                          </w:rPr>
                          <w:t>L’accord</w:t>
                        </w:r>
                        <w:r w:rsidR="00B6508B">
                          <w:rPr>
                            <w:rFonts w:ascii="Arial" w:eastAsia="Times New Roman" w:hAnsi="Arial" w:cs="Arial"/>
                            <w:sz w:val="20"/>
                            <w:szCs w:val="20"/>
                            <w:lang w:eastAsia="fr-FR"/>
                          </w:rPr>
                          <w:t xml:space="preserve"> de l’Ordre est obligatoire (article R4321-132 du Code de déontologie).</w:t>
                        </w:r>
                      </w:p>
                      <w:p w:rsidR="00D10631" w:rsidRPr="00B45684"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B45684">
                          <w:rPr>
                            <w:rFonts w:ascii="Arial" w:eastAsia="Times New Roman" w:hAnsi="Arial" w:cs="Arial"/>
                            <w:sz w:val="20"/>
                            <w:szCs w:val="20"/>
                            <w:lang w:eastAsia="fr-FR"/>
                          </w:rPr>
                          <w:t>Lorsqu'il existe un contrat liant le décédé aux autres confrères</w:t>
                        </w:r>
                        <w:r w:rsidR="00B546AB">
                          <w:rPr>
                            <w:rFonts w:ascii="Arial" w:eastAsia="Times New Roman" w:hAnsi="Arial" w:cs="Arial"/>
                            <w:sz w:val="20"/>
                            <w:szCs w:val="20"/>
                            <w:lang w:eastAsia="fr-FR"/>
                          </w:rPr>
                          <w:t xml:space="preserve"> (assurance croisée)</w:t>
                        </w:r>
                        <w:r w:rsidRPr="00B45684">
                          <w:rPr>
                            <w:rFonts w:ascii="Arial" w:eastAsia="Times New Roman" w:hAnsi="Arial" w:cs="Arial"/>
                            <w:sz w:val="20"/>
                            <w:szCs w:val="20"/>
                            <w:lang w:eastAsia="fr-FR"/>
                          </w:rPr>
                          <w:t>, se référer aux clauses de ce contrat.</w:t>
                        </w:r>
                      </w:p>
                      <w:p w:rsidR="00D10631" w:rsidRPr="00B546AB" w:rsidRDefault="00D10631" w:rsidP="007516C4">
                        <w:pPr>
                          <w:spacing w:before="100" w:beforeAutospacing="1" w:after="100" w:afterAutospacing="1" w:line="240" w:lineRule="auto"/>
                          <w:jc w:val="both"/>
                          <w:rPr>
                            <w:rFonts w:ascii="Arial" w:eastAsia="Times New Roman" w:hAnsi="Arial" w:cs="Arial"/>
                            <w:b/>
                            <w:sz w:val="20"/>
                            <w:szCs w:val="20"/>
                            <w:u w:val="single"/>
                            <w:lang w:eastAsia="fr-FR"/>
                          </w:rPr>
                        </w:pPr>
                        <w:bookmarkStart w:id="0" w:name="_GoBack"/>
                        <w:r w:rsidRPr="00B546AB">
                          <w:rPr>
                            <w:rFonts w:ascii="Arial" w:eastAsia="Times New Roman" w:hAnsi="Arial" w:cs="Arial"/>
                            <w:b/>
                            <w:bCs/>
                            <w:color w:val="603294"/>
                            <w:sz w:val="20"/>
                            <w:szCs w:val="20"/>
                            <w:u w:val="single"/>
                            <w:lang w:eastAsia="fr-FR"/>
                          </w:rPr>
                          <w:t>Société d'exercice</w:t>
                        </w:r>
                      </w:p>
                      <w:bookmarkEnd w:id="0"/>
                      <w:p w:rsidR="00D10631" w:rsidRPr="00B45684" w:rsidRDefault="00D10631" w:rsidP="007516C4">
                        <w:pPr>
                          <w:spacing w:after="0" w:line="240" w:lineRule="auto"/>
                          <w:jc w:val="both"/>
                          <w:rPr>
                            <w:rFonts w:ascii="Arial" w:eastAsia="Times New Roman" w:hAnsi="Arial" w:cs="Arial"/>
                            <w:b/>
                            <w:sz w:val="20"/>
                            <w:szCs w:val="20"/>
                            <w:lang w:eastAsia="fr-FR"/>
                          </w:rPr>
                        </w:pPr>
                        <w:r w:rsidRPr="00B45684">
                          <w:rPr>
                            <w:rFonts w:ascii="Arial" w:eastAsia="Times New Roman" w:hAnsi="Arial" w:cs="Arial"/>
                            <w:b/>
                            <w:color w:val="603294"/>
                            <w:sz w:val="24"/>
                            <w:szCs w:val="24"/>
                            <w:lang w:eastAsia="fr-FR"/>
                          </w:rPr>
                          <w:t>•</w:t>
                        </w:r>
                        <w:r w:rsidRPr="00B45684">
                          <w:rPr>
                            <w:rFonts w:ascii="Arial" w:eastAsia="Times New Roman" w:hAnsi="Arial" w:cs="Arial"/>
                            <w:b/>
                            <w:sz w:val="20"/>
                            <w:szCs w:val="20"/>
                            <w:lang w:eastAsia="fr-FR"/>
                          </w:rPr>
                          <w:t> Convention d'exercice conjoint</w:t>
                        </w:r>
                      </w:p>
                      <w:p w:rsidR="00555ACA" w:rsidRDefault="007516C4" w:rsidP="007516C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Voir clauses du contrat.</w:t>
                        </w:r>
                      </w:p>
                      <w:p w:rsidR="007516C4" w:rsidRDefault="007516C4" w:rsidP="007516C4">
                        <w:pPr>
                          <w:spacing w:after="0" w:line="240" w:lineRule="auto"/>
                          <w:jc w:val="both"/>
                          <w:rPr>
                            <w:rFonts w:ascii="Arial" w:eastAsia="Times New Roman" w:hAnsi="Arial" w:cs="Arial"/>
                            <w:sz w:val="20"/>
                            <w:szCs w:val="20"/>
                            <w:lang w:eastAsia="fr-FR"/>
                          </w:rPr>
                        </w:pPr>
                      </w:p>
                      <w:p w:rsidR="000E570A" w:rsidRDefault="000E570A" w:rsidP="000E570A">
                        <w:pPr>
                          <w:spacing w:after="0" w:line="240" w:lineRule="auto"/>
                          <w:jc w:val="both"/>
                          <w:rPr>
                            <w:rFonts w:ascii="Arial" w:eastAsia="Times New Roman" w:hAnsi="Arial" w:cs="Arial"/>
                            <w:b/>
                            <w:bCs/>
                            <w:color w:val="603294"/>
                            <w:sz w:val="20"/>
                            <w:szCs w:val="20"/>
                            <w:u w:val="single"/>
                            <w:lang w:eastAsia="fr-FR"/>
                          </w:rPr>
                        </w:pPr>
                        <w:r w:rsidRPr="00850663">
                          <w:rPr>
                            <w:rFonts w:ascii="Arial" w:eastAsia="Times New Roman" w:hAnsi="Arial" w:cs="Arial"/>
                            <w:b/>
                            <w:bCs/>
                            <w:color w:val="603294"/>
                            <w:sz w:val="20"/>
                            <w:szCs w:val="20"/>
                            <w:u w:val="single"/>
                            <w:lang w:eastAsia="fr-FR"/>
                          </w:rPr>
                          <w:lastRenderedPageBreak/>
                          <w:t>Groupement de moyens</w:t>
                        </w:r>
                      </w:p>
                      <w:p w:rsidR="000E570A" w:rsidRPr="00850663" w:rsidRDefault="000E570A" w:rsidP="000E570A">
                        <w:pPr>
                          <w:spacing w:after="0" w:line="240" w:lineRule="auto"/>
                          <w:jc w:val="both"/>
                          <w:rPr>
                            <w:rFonts w:ascii="Arial" w:eastAsia="Times New Roman" w:hAnsi="Arial" w:cs="Arial"/>
                            <w:sz w:val="20"/>
                            <w:szCs w:val="20"/>
                            <w:u w:val="single"/>
                            <w:lang w:eastAsia="fr-FR"/>
                          </w:rPr>
                        </w:pPr>
                      </w:p>
                      <w:p w:rsidR="000E570A" w:rsidRPr="00B45684" w:rsidRDefault="000E570A" w:rsidP="000E570A">
                        <w:pPr>
                          <w:spacing w:after="0" w:line="240" w:lineRule="auto"/>
                          <w:jc w:val="both"/>
                          <w:rPr>
                            <w:rFonts w:ascii="Arial" w:eastAsia="Times New Roman" w:hAnsi="Arial" w:cs="Arial"/>
                            <w:b/>
                            <w:sz w:val="20"/>
                            <w:szCs w:val="20"/>
                            <w:lang w:eastAsia="fr-FR"/>
                          </w:rPr>
                        </w:pPr>
                        <w:r w:rsidRPr="00B45684">
                          <w:rPr>
                            <w:rFonts w:ascii="Arial" w:eastAsia="Times New Roman" w:hAnsi="Arial" w:cs="Arial"/>
                            <w:b/>
                            <w:color w:val="603294"/>
                            <w:sz w:val="24"/>
                            <w:szCs w:val="24"/>
                            <w:lang w:eastAsia="fr-FR"/>
                          </w:rPr>
                          <w:t>•</w:t>
                        </w:r>
                        <w:r w:rsidRPr="00B45684">
                          <w:rPr>
                            <w:rFonts w:ascii="Arial" w:eastAsia="Times New Roman" w:hAnsi="Arial" w:cs="Arial"/>
                            <w:b/>
                            <w:sz w:val="20"/>
                            <w:szCs w:val="20"/>
                            <w:lang w:eastAsia="fr-FR"/>
                          </w:rPr>
                          <w:t> Société civile de moyens de droit</w:t>
                        </w:r>
                        <w:r>
                          <w:rPr>
                            <w:rFonts w:ascii="Arial" w:eastAsia="Times New Roman" w:hAnsi="Arial" w:cs="Arial"/>
                            <w:b/>
                            <w:sz w:val="20"/>
                            <w:szCs w:val="20"/>
                            <w:lang w:eastAsia="fr-FR"/>
                          </w:rPr>
                          <w:t xml:space="preserve"> (SCM)</w:t>
                        </w:r>
                      </w:p>
                      <w:p w:rsidR="000E570A" w:rsidRPr="00D10631" w:rsidRDefault="000E570A" w:rsidP="000E570A">
                        <w:pPr>
                          <w:spacing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 contrat prévoit, en général, le cas du décès d'un des associés. Il faut donc se référer aux statuts</w:t>
                        </w:r>
                        <w:r>
                          <w:rPr>
                            <w:rFonts w:ascii="Arial" w:eastAsia="Times New Roman" w:hAnsi="Arial" w:cs="Arial"/>
                            <w:sz w:val="20"/>
                            <w:szCs w:val="20"/>
                            <w:lang w:eastAsia="fr-FR"/>
                          </w:rPr>
                          <w:t xml:space="preserve">. </w:t>
                        </w:r>
                      </w:p>
                      <w:p w:rsidR="000E570A" w:rsidRDefault="000E570A" w:rsidP="000E570A">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société peut continuer d’exister avec un membre </w:t>
                        </w:r>
                        <w:r w:rsidR="00501D76">
                          <w:rPr>
                            <w:rFonts w:ascii="Arial" w:eastAsia="Times New Roman" w:hAnsi="Arial" w:cs="Arial"/>
                            <w:sz w:val="20"/>
                            <w:szCs w:val="20"/>
                            <w:lang w:eastAsia="fr-FR"/>
                          </w:rPr>
                          <w:t xml:space="preserve">pendant un </w:t>
                        </w:r>
                        <w:r>
                          <w:rPr>
                            <w:rFonts w:ascii="Arial" w:eastAsia="Times New Roman" w:hAnsi="Arial" w:cs="Arial"/>
                            <w:sz w:val="20"/>
                            <w:szCs w:val="20"/>
                            <w:lang w:eastAsia="fr-FR"/>
                          </w:rPr>
                          <w:t>an</w:t>
                        </w:r>
                        <w:r w:rsidR="00501D76">
                          <w:rPr>
                            <w:rFonts w:ascii="Arial" w:eastAsia="Times New Roman" w:hAnsi="Arial" w:cs="Arial"/>
                            <w:sz w:val="20"/>
                            <w:szCs w:val="20"/>
                            <w:lang w:eastAsia="fr-FR"/>
                          </w:rPr>
                          <w:t>, au-delà de ce délai dissolution de la SCM officielle</w:t>
                        </w:r>
                        <w:r>
                          <w:rPr>
                            <w:rFonts w:ascii="Arial" w:eastAsia="Times New Roman" w:hAnsi="Arial" w:cs="Arial"/>
                            <w:sz w:val="20"/>
                            <w:szCs w:val="20"/>
                            <w:lang w:eastAsia="fr-FR"/>
                          </w:rPr>
                          <w:t>. S’il reste plusieurs associés, la SCM continue d’exister mais il faudra en modifier les statuts avec rachat des parts, par les restants, ou par un nouvel associé</w:t>
                        </w:r>
                        <w:r w:rsidR="00501D76">
                          <w:rPr>
                            <w:rFonts w:ascii="Arial" w:eastAsia="Times New Roman" w:hAnsi="Arial" w:cs="Arial"/>
                            <w:sz w:val="20"/>
                            <w:szCs w:val="20"/>
                            <w:lang w:eastAsia="fr-FR"/>
                          </w:rPr>
                          <w:t xml:space="preserve">. </w:t>
                        </w:r>
                      </w:p>
                      <w:p w:rsidR="000E570A" w:rsidRPr="00B45684" w:rsidRDefault="000E570A" w:rsidP="007516C4">
                        <w:pPr>
                          <w:spacing w:after="0" w:line="240" w:lineRule="auto"/>
                          <w:jc w:val="both"/>
                          <w:rPr>
                            <w:rFonts w:ascii="Arial" w:eastAsia="Times New Roman" w:hAnsi="Arial" w:cs="Arial"/>
                            <w:sz w:val="20"/>
                            <w:szCs w:val="20"/>
                            <w:lang w:eastAsia="fr-FR"/>
                          </w:rPr>
                        </w:pPr>
                      </w:p>
                      <w:p w:rsidR="00D10631" w:rsidRPr="00B6508B" w:rsidRDefault="00D10631" w:rsidP="007516C4">
                        <w:pPr>
                          <w:spacing w:after="0" w:line="240" w:lineRule="auto"/>
                          <w:jc w:val="both"/>
                          <w:rPr>
                            <w:rFonts w:ascii="Arial" w:eastAsia="Times New Roman" w:hAnsi="Arial" w:cs="Arial"/>
                            <w:sz w:val="20"/>
                            <w:szCs w:val="20"/>
                            <w:lang w:eastAsia="fr-FR"/>
                          </w:rPr>
                        </w:pPr>
                        <w:r w:rsidRPr="00B45684">
                          <w:rPr>
                            <w:rFonts w:ascii="Arial" w:eastAsia="Times New Roman" w:hAnsi="Arial" w:cs="Arial"/>
                            <w:b/>
                            <w:color w:val="603294"/>
                            <w:sz w:val="24"/>
                            <w:szCs w:val="24"/>
                            <w:lang w:eastAsia="fr-FR"/>
                          </w:rPr>
                          <w:t>•</w:t>
                        </w:r>
                        <w:r w:rsidRPr="00B45684">
                          <w:rPr>
                            <w:rFonts w:ascii="Arial" w:eastAsia="Times New Roman" w:hAnsi="Arial" w:cs="Arial"/>
                            <w:b/>
                            <w:sz w:val="20"/>
                            <w:szCs w:val="20"/>
                            <w:lang w:eastAsia="fr-FR"/>
                          </w:rPr>
                          <w:t> Société civile professionnelle</w:t>
                        </w:r>
                        <w:r w:rsidR="00B6508B">
                          <w:rPr>
                            <w:rFonts w:ascii="Arial" w:eastAsia="Times New Roman" w:hAnsi="Arial" w:cs="Arial"/>
                            <w:b/>
                            <w:sz w:val="20"/>
                            <w:szCs w:val="20"/>
                            <w:lang w:eastAsia="fr-FR"/>
                          </w:rPr>
                          <w:t xml:space="preserve"> et SARL</w:t>
                        </w:r>
                      </w:p>
                      <w:p w:rsidR="00D10631" w:rsidRDefault="00D10631" w:rsidP="007516C4">
                        <w:pPr>
                          <w:spacing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Le contrat prévoit le décès d'un des associés. Les parts sociales détenues par l'associé décédé sont rachetées soit par un tiers, soit par le ou les associés restants, ou la société. Les ayants droit conservent vocation à la répartition des bénéfices selon les conditions figurant dans les statuts.</w:t>
                        </w:r>
                      </w:p>
                      <w:p w:rsidR="00850663" w:rsidRPr="00D10631" w:rsidRDefault="00850663" w:rsidP="007516C4">
                        <w:pPr>
                          <w:spacing w:after="0" w:line="240" w:lineRule="auto"/>
                          <w:jc w:val="both"/>
                          <w:rPr>
                            <w:rFonts w:ascii="Arial" w:eastAsia="Times New Roman" w:hAnsi="Arial" w:cs="Arial"/>
                            <w:sz w:val="20"/>
                            <w:szCs w:val="20"/>
                            <w:lang w:eastAsia="fr-FR"/>
                          </w:rPr>
                        </w:pPr>
                      </w:p>
                      <w:p w:rsidR="00D10631" w:rsidRPr="00B45684" w:rsidRDefault="00D10631" w:rsidP="007516C4">
                        <w:pPr>
                          <w:spacing w:after="0" w:line="240" w:lineRule="auto"/>
                          <w:jc w:val="both"/>
                          <w:rPr>
                            <w:rFonts w:ascii="Arial" w:eastAsia="Times New Roman" w:hAnsi="Arial" w:cs="Arial"/>
                            <w:b/>
                            <w:sz w:val="20"/>
                            <w:szCs w:val="20"/>
                            <w:lang w:eastAsia="fr-FR"/>
                          </w:rPr>
                        </w:pPr>
                        <w:r w:rsidRPr="00B45684">
                          <w:rPr>
                            <w:rFonts w:ascii="Arial" w:eastAsia="Times New Roman" w:hAnsi="Arial" w:cs="Arial"/>
                            <w:b/>
                            <w:color w:val="603294"/>
                            <w:sz w:val="24"/>
                            <w:szCs w:val="24"/>
                            <w:lang w:eastAsia="fr-FR"/>
                          </w:rPr>
                          <w:t>•</w:t>
                        </w:r>
                        <w:r w:rsidRPr="00B45684">
                          <w:rPr>
                            <w:rFonts w:ascii="Arial" w:eastAsia="Times New Roman" w:hAnsi="Arial" w:cs="Arial"/>
                            <w:b/>
                            <w:sz w:val="20"/>
                            <w:szCs w:val="20"/>
                            <w:lang w:eastAsia="fr-FR"/>
                          </w:rPr>
                          <w:t> Société d'exercice de fait</w:t>
                        </w:r>
                      </w:p>
                      <w:p w:rsidR="00850663" w:rsidRDefault="00D10631" w:rsidP="007516C4">
                        <w:pPr>
                          <w:spacing w:after="0" w:line="240" w:lineRule="auto"/>
                          <w:jc w:val="both"/>
                          <w:rPr>
                            <w:rFonts w:ascii="Arial" w:eastAsia="Times New Roman" w:hAnsi="Arial" w:cs="Arial"/>
                            <w:sz w:val="20"/>
                            <w:szCs w:val="20"/>
                            <w:lang w:eastAsia="fr-FR"/>
                          </w:rPr>
                        </w:pPr>
                        <w:r w:rsidRPr="00D10631">
                          <w:rPr>
                            <w:rFonts w:ascii="Arial" w:eastAsia="Times New Roman" w:hAnsi="Arial" w:cs="Arial"/>
                            <w:sz w:val="20"/>
                            <w:szCs w:val="20"/>
                            <w:lang w:eastAsia="fr-FR"/>
                          </w:rPr>
                          <w:t>En l'absence de contrat, nous vous conseillons de pratiquer selon les mêmes modalités que pour un exercice individuel.</w:t>
                        </w:r>
                      </w:p>
                      <w:p w:rsidR="007516C4" w:rsidRDefault="007516C4" w:rsidP="007516C4">
                        <w:pPr>
                          <w:spacing w:after="0" w:line="240" w:lineRule="auto"/>
                          <w:jc w:val="both"/>
                          <w:rPr>
                            <w:rFonts w:ascii="Arial" w:eastAsia="Times New Roman" w:hAnsi="Arial" w:cs="Arial"/>
                            <w:sz w:val="20"/>
                            <w:szCs w:val="20"/>
                            <w:lang w:eastAsia="fr-FR"/>
                          </w:rPr>
                        </w:pPr>
                      </w:p>
                      <w:p w:rsidR="00850663" w:rsidRDefault="00850663" w:rsidP="007516C4">
                        <w:pPr>
                          <w:spacing w:after="0" w:line="240" w:lineRule="auto"/>
                          <w:jc w:val="both"/>
                          <w:rPr>
                            <w:rFonts w:ascii="Arial" w:eastAsia="Times New Roman" w:hAnsi="Arial" w:cs="Arial"/>
                            <w:sz w:val="20"/>
                            <w:szCs w:val="20"/>
                            <w:lang w:eastAsia="fr-FR"/>
                          </w:rPr>
                        </w:pPr>
                      </w:p>
                      <w:p w:rsidR="00D10631" w:rsidRPr="00D10631" w:rsidRDefault="007516C4" w:rsidP="007516C4">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i/>
                            <w:iCs/>
                            <w:sz w:val="20"/>
                            <w:szCs w:val="20"/>
                            <w:lang w:eastAsia="fr-FR"/>
                          </w:rPr>
                          <w:t>Si vous êtes adhérent à un syndicat, le contacter pour une éventuelle assurance décès prévue dans la cotisation.</w:t>
                        </w:r>
                      </w:p>
                      <w:p w:rsidR="00D10631" w:rsidRPr="00D10631" w:rsidRDefault="00D10631" w:rsidP="007516C4">
                        <w:pPr>
                          <w:spacing w:before="100" w:beforeAutospacing="1" w:after="100" w:afterAutospacing="1" w:line="240" w:lineRule="auto"/>
                          <w:jc w:val="both"/>
                          <w:rPr>
                            <w:rFonts w:ascii="Arial" w:eastAsia="Times New Roman" w:hAnsi="Arial" w:cs="Arial"/>
                            <w:sz w:val="20"/>
                            <w:szCs w:val="20"/>
                            <w:lang w:eastAsia="fr-FR"/>
                          </w:rPr>
                        </w:pPr>
                        <w:r w:rsidRPr="00D10631">
                          <w:rPr>
                            <w:rFonts w:ascii="Arial" w:eastAsia="Times New Roman" w:hAnsi="Arial" w:cs="Arial"/>
                            <w:b/>
                            <w:bCs/>
                            <w:sz w:val="20"/>
                            <w:szCs w:val="20"/>
                            <w:lang w:eastAsia="fr-FR"/>
                          </w:rPr>
                          <w:t>Il est indispensable de prendre contact très rapidement avec le notaire chargé de la succession. Les droits éventuels doivent être acquittés dans les six mois qui suivent le décès.</w:t>
                        </w:r>
                      </w:p>
                    </w:tc>
                  </w:tr>
                  <w:tr w:rsidR="007516C4" w:rsidRPr="00D10631" w:rsidTr="00850663">
                    <w:trPr>
                      <w:tblCellSpacing w:w="0" w:type="dxa"/>
                      <w:jc w:val="center"/>
                    </w:trPr>
                    <w:tc>
                      <w:tcPr>
                        <w:tcW w:w="9036" w:type="dxa"/>
                      </w:tcPr>
                      <w:p w:rsidR="007516C4" w:rsidRPr="00BD430A" w:rsidRDefault="007516C4" w:rsidP="007516C4">
                        <w:pPr>
                          <w:spacing w:before="100" w:beforeAutospacing="1" w:after="100" w:afterAutospacing="1" w:line="240" w:lineRule="auto"/>
                          <w:jc w:val="both"/>
                          <w:rPr>
                            <w:rFonts w:ascii="Arial" w:eastAsia="Times New Roman" w:hAnsi="Arial" w:cs="Arial"/>
                            <w:b/>
                            <w:bCs/>
                            <w:sz w:val="20"/>
                            <w:szCs w:val="20"/>
                            <w:lang w:eastAsia="fr-FR"/>
                          </w:rPr>
                        </w:pPr>
                      </w:p>
                    </w:tc>
                  </w:tr>
                </w:tbl>
                <w:p w:rsidR="00D10631" w:rsidRPr="00D10631" w:rsidRDefault="00D10631" w:rsidP="007516C4">
                  <w:pPr>
                    <w:spacing w:after="0" w:line="240" w:lineRule="auto"/>
                    <w:jc w:val="both"/>
                    <w:rPr>
                      <w:rFonts w:ascii="Times New Roman" w:eastAsia="Times New Roman" w:hAnsi="Times New Roman" w:cs="Times New Roman"/>
                      <w:sz w:val="24"/>
                      <w:szCs w:val="24"/>
                      <w:lang w:eastAsia="fr-FR"/>
                    </w:rPr>
                  </w:pPr>
                </w:p>
              </w:tc>
            </w:tr>
          </w:tbl>
          <w:p w:rsidR="00D10631" w:rsidRPr="00D10631" w:rsidRDefault="00D10631" w:rsidP="007516C4">
            <w:pPr>
              <w:spacing w:after="0" w:line="240" w:lineRule="auto"/>
              <w:jc w:val="both"/>
              <w:rPr>
                <w:rFonts w:ascii="Times New Roman" w:eastAsia="Times New Roman" w:hAnsi="Times New Roman" w:cs="Times New Roman"/>
                <w:vanish/>
                <w:sz w:val="24"/>
                <w:szCs w:val="24"/>
                <w:lang w:eastAsia="fr-FR"/>
              </w:rPr>
            </w:pPr>
          </w:p>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D10631" w:rsidRPr="00D10631">
              <w:trPr>
                <w:tblCellSpacing w:w="0" w:type="dxa"/>
                <w:jc w:val="center"/>
              </w:trPr>
              <w:tc>
                <w:tcPr>
                  <w:tcW w:w="0" w:type="auto"/>
                  <w:vAlign w:val="center"/>
                  <w:hideMark/>
                </w:tcPr>
                <w:p w:rsidR="00D10631" w:rsidRPr="00D10631" w:rsidRDefault="00D10631" w:rsidP="007516C4">
                  <w:pPr>
                    <w:spacing w:after="240" w:line="240" w:lineRule="auto"/>
                    <w:jc w:val="both"/>
                    <w:rPr>
                      <w:rFonts w:ascii="Times New Roman" w:eastAsia="Times New Roman" w:hAnsi="Times New Roman" w:cs="Times New Roman"/>
                      <w:sz w:val="24"/>
                      <w:szCs w:val="24"/>
                      <w:lang w:eastAsia="fr-FR"/>
                    </w:rPr>
                  </w:pPr>
                </w:p>
              </w:tc>
            </w:tr>
          </w:tbl>
          <w:p w:rsidR="00D10631" w:rsidRPr="00D10631" w:rsidRDefault="00D10631" w:rsidP="007516C4">
            <w:pPr>
              <w:spacing w:after="0" w:line="240" w:lineRule="auto"/>
              <w:jc w:val="both"/>
              <w:rPr>
                <w:rFonts w:ascii="Times New Roman" w:eastAsia="Times New Roman" w:hAnsi="Times New Roman" w:cs="Times New Roman"/>
                <w:sz w:val="24"/>
                <w:szCs w:val="24"/>
                <w:lang w:eastAsia="fr-FR"/>
              </w:rPr>
            </w:pPr>
          </w:p>
        </w:tc>
      </w:tr>
    </w:tbl>
    <w:p w:rsidR="00B54133" w:rsidRDefault="00B54133" w:rsidP="007516C4">
      <w:pPr>
        <w:jc w:val="both"/>
      </w:pPr>
    </w:p>
    <w:sectPr w:rsidR="00B54133" w:rsidSect="00B6508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31"/>
    <w:rsid w:val="000E570A"/>
    <w:rsid w:val="00102EFA"/>
    <w:rsid w:val="00435DD0"/>
    <w:rsid w:val="00501D76"/>
    <w:rsid w:val="00555ACA"/>
    <w:rsid w:val="007516C4"/>
    <w:rsid w:val="0084559C"/>
    <w:rsid w:val="008505B8"/>
    <w:rsid w:val="00850663"/>
    <w:rsid w:val="008A246B"/>
    <w:rsid w:val="00923088"/>
    <w:rsid w:val="009505CA"/>
    <w:rsid w:val="009677E4"/>
    <w:rsid w:val="00A85230"/>
    <w:rsid w:val="00B45684"/>
    <w:rsid w:val="00B54133"/>
    <w:rsid w:val="00B546AB"/>
    <w:rsid w:val="00B6508B"/>
    <w:rsid w:val="00BD430A"/>
    <w:rsid w:val="00D10631"/>
    <w:rsid w:val="00D21EAC"/>
    <w:rsid w:val="00EC61E4"/>
    <w:rsid w:val="00F13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0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0631"/>
    <w:rPr>
      <w:b/>
      <w:bCs/>
    </w:rPr>
  </w:style>
  <w:style w:type="character" w:styleId="Accentuation">
    <w:name w:val="Emphasis"/>
    <w:basedOn w:val="Policepardfaut"/>
    <w:uiPriority w:val="20"/>
    <w:qFormat/>
    <w:rsid w:val="00D10631"/>
    <w:rPr>
      <w:i/>
      <w:iCs/>
    </w:rPr>
  </w:style>
  <w:style w:type="character" w:styleId="Lienhypertexte">
    <w:name w:val="Hyperlink"/>
    <w:basedOn w:val="Policepardfaut"/>
    <w:uiPriority w:val="99"/>
    <w:semiHidden/>
    <w:unhideWhenUsed/>
    <w:rsid w:val="00D10631"/>
    <w:rPr>
      <w:color w:val="0000FF"/>
      <w:u w:val="single"/>
    </w:rPr>
  </w:style>
  <w:style w:type="paragraph" w:styleId="Textedebulles">
    <w:name w:val="Balloon Text"/>
    <w:basedOn w:val="Normal"/>
    <w:link w:val="TextedebullesCar"/>
    <w:uiPriority w:val="99"/>
    <w:semiHidden/>
    <w:unhideWhenUsed/>
    <w:rsid w:val="00D106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0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0631"/>
    <w:rPr>
      <w:b/>
      <w:bCs/>
    </w:rPr>
  </w:style>
  <w:style w:type="character" w:styleId="Accentuation">
    <w:name w:val="Emphasis"/>
    <w:basedOn w:val="Policepardfaut"/>
    <w:uiPriority w:val="20"/>
    <w:qFormat/>
    <w:rsid w:val="00D10631"/>
    <w:rPr>
      <w:i/>
      <w:iCs/>
    </w:rPr>
  </w:style>
  <w:style w:type="character" w:styleId="Lienhypertexte">
    <w:name w:val="Hyperlink"/>
    <w:basedOn w:val="Policepardfaut"/>
    <w:uiPriority w:val="99"/>
    <w:semiHidden/>
    <w:unhideWhenUsed/>
    <w:rsid w:val="00D10631"/>
    <w:rPr>
      <w:color w:val="0000FF"/>
      <w:u w:val="single"/>
    </w:rPr>
  </w:style>
  <w:style w:type="paragraph" w:styleId="Textedebulles">
    <w:name w:val="Balloon Text"/>
    <w:basedOn w:val="Normal"/>
    <w:link w:val="TextedebullesCar"/>
    <w:uiPriority w:val="99"/>
    <w:semiHidden/>
    <w:unhideWhenUsed/>
    <w:rsid w:val="00D106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5886">
      <w:bodyDiv w:val="1"/>
      <w:marLeft w:val="0"/>
      <w:marRight w:val="0"/>
      <w:marTop w:val="0"/>
      <w:marBottom w:val="0"/>
      <w:divBdr>
        <w:top w:val="none" w:sz="0" w:space="0" w:color="auto"/>
        <w:left w:val="none" w:sz="0" w:space="0" w:color="auto"/>
        <w:bottom w:val="none" w:sz="0" w:space="0" w:color="auto"/>
        <w:right w:val="none" w:sz="0" w:space="0" w:color="auto"/>
      </w:divBdr>
      <w:divsChild>
        <w:div w:id="313949804">
          <w:marLeft w:val="0"/>
          <w:marRight w:val="0"/>
          <w:marTop w:val="0"/>
          <w:marBottom w:val="0"/>
          <w:divBdr>
            <w:top w:val="none" w:sz="0" w:space="0" w:color="auto"/>
            <w:left w:val="none" w:sz="0" w:space="0" w:color="auto"/>
            <w:bottom w:val="none" w:sz="0" w:space="0" w:color="auto"/>
            <w:right w:val="none" w:sz="0" w:space="0" w:color="auto"/>
          </w:divBdr>
        </w:div>
        <w:div w:id="136795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OrdreMK</dc:creator>
  <cp:keywords/>
  <dc:description/>
  <cp:lastModifiedBy>OrdreMK</cp:lastModifiedBy>
  <cp:revision>14</cp:revision>
  <cp:lastPrinted>2015-08-04T08:37:00Z</cp:lastPrinted>
  <dcterms:created xsi:type="dcterms:W3CDTF">2015-05-21T12:50:00Z</dcterms:created>
  <dcterms:modified xsi:type="dcterms:W3CDTF">2015-08-04T08:44:00Z</dcterms:modified>
</cp:coreProperties>
</file>